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pict>
          <v:shape id="_x0000_s2053" o:spid="_x0000_s2053" o:spt="136" type="#_x0000_t136" style="position:absolute;left:0pt;margin-left:5.75pt;margin-top:40.35pt;height:84.75pt;width:436.65pt;z-index:25167872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text="f"/>
            <v:textpath on="t" fitshape="t" fitpath="t" trim="t" xscale="f" string="滕州市人民政府办公室文件" style="font-family:华文中宋;font-size:36pt;font-weight:bold;v-text-align:center;"/>
          </v:shape>
        </w:pic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滕政办发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70号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pict>
          <v:line id="_x0000_s2054" o:spid="_x0000_s2054" o:spt="20" style="position:absolute;left:0pt;margin-left:24.25pt;margin-top:14pt;height:0.05pt;width:405pt;z-index:251752448;mso-width-relative:page;mso-height-relative:page;" filled="f" stroked="t" coordsize="21600,21600" o:gfxdata="UEsDBAoAAAAAAIdO4kAAAAAAAAAAAAAAAAAEAAAAZHJzL1BLAwQUAAAACACHTuJAYfMVkNQAAAAH&#10;AQAADwAAAGRycy9kb3ducmV2LnhtbE2Oy07DMBBF90j8gzVI7KidClAa4lSAYIeECI9u3XiIo8bj&#10;KHbT9O+Zruhyzr26c8r17Hsx4Ri7QBqyhQKB1ATbUavh6/P1JgcRkyFr+kCo4YgR1tXlRWkKGw70&#10;gVOdWsEjFAujwaU0FFLGxqE3cREGJM5+w+hN4nNspR3Ngcd9L5dK3UtvOuIPzgz47LDZ1XuvYf7J&#10;H93mLT29hO93t5s3tZ+WR62vrzL1ACLhnP7LcNJndajYaRv2ZKPoNdzdcpFxvgLBcZ6dwJbBSoGs&#10;SnnuX/0BUEsDBBQAAAAIAIdO4kATpAp94wEAAKoDAAAOAAAAZHJzL2Uyb0RvYy54bWytU0tu2zAQ&#10;3RfoHQjuY0m25QSC5SziupuiNdD2AGOSkgjwB5Kx7LPkGl110+PkGh3Sapqmm6KIFtRQfHwz781o&#10;fXvSihyFD9KallazkhJhmOXS9C39+mV3dUNJiGA4KGtES88i0NvN2zfr0TVibgeruPAESUxoRtfS&#10;IUbXFEVgg9AQZtYJg4ed9Roibn1fcA8jsmtVzMtyVYzWc+ctEyHg1+3lkG4yf9cJFj91XRCRqJZi&#10;bTGvPq+HtBabNTS9BzdINpUB/1GFBmkw6RPVFiKQey//otKSeRtsF2fM6sJ2nWQia0A1VflCzecB&#10;nMha0JzgnmwKr0fLPh73nkje0iUlBjS26PHh2+P3H2SVvBldaBByZ/Z+2gW390noqfM6vVECOWHn&#10;q2q5nNeUnFu6uK7nN/XkrThFwhBQV8tFXWILGCJWizqxF79pnA/xvbCapKClSpokHBo4fgjxAv0F&#10;SZ+VIWNLMcs1pmSAg9MpiBhqh1KC6fPlYJXkO6lUuhJ8f7hTnhwBR2G3K/GZavgDlrJsIQwXXD5K&#10;MGgGAfyd4SSeHZpkcJppqkELTokSOPwpysgIUv0LEuUrk6hFHtRJaLL8YnKKDpafsUH3zst+QGOq&#10;XHM6wYHIDk7Dmybu+R7j57/Y5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8xWQ1AAAAAcBAAAP&#10;AAAAAAAAAAEAIAAAACIAAABkcnMvZG93bnJldi54bWxQSwECFAAUAAAACACHTuJAE6QKfeMBAACq&#10;AwAADgAAAAAAAAABACAAAAAjAQAAZHJzL2Uyb0RvYy54bWxQSwUGAAAAAAYABgBZAQAAeAUAAAAA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color w:val="000000" w:themeColor="text1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方正小标宋简体" w:eastAsia="方正小标宋简体" w:cs="方正小标宋简体"/>
          <w:color w:val="000000" w:themeColor="text1"/>
          <w:sz w:val="44"/>
          <w:szCs w:val="44"/>
          <w:lang w:eastAsia="zh-CN"/>
        </w:rPr>
        <w:t>滕州市人民政府办公室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color w:val="000000" w:themeColor="text1"/>
          <w:spacing w:val="-6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color w:val="000000" w:themeColor="text1"/>
          <w:spacing w:val="-6"/>
          <w:sz w:val="44"/>
          <w:szCs w:val="44"/>
        </w:rPr>
        <w:t>关于做好</w:t>
      </w:r>
      <w:r>
        <w:rPr>
          <w:rFonts w:ascii="Times New Roman" w:hAnsi="Times New Roman" w:eastAsia="方正小标宋简体" w:cs="Times New Roman"/>
          <w:color w:val="000000" w:themeColor="text1"/>
          <w:spacing w:val="-6"/>
          <w:sz w:val="44"/>
          <w:szCs w:val="44"/>
        </w:rPr>
        <w:t>2018</w:t>
      </w:r>
      <w:r>
        <w:rPr>
          <w:rFonts w:hint="eastAsia" w:ascii="Times New Roman" w:hAnsi="方正小标宋简体" w:eastAsia="方正小标宋简体" w:cs="方正小标宋简体"/>
          <w:color w:val="000000" w:themeColor="text1"/>
          <w:spacing w:val="-6"/>
          <w:sz w:val="44"/>
          <w:szCs w:val="44"/>
        </w:rPr>
        <w:t>年全市洁净型煤和节能环保炉具推广工作的通知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Times New Roman" w:hAnsi="方正小标宋简体" w:eastAsia="方正小标宋简体" w:cs="方正小标宋简体"/>
          <w:color w:val="000000" w:themeColor="text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Book Antiqua" w:eastAsia="仿宋_GB2312" w:cs="宋体"/>
          <w:color w:val="000000"/>
          <w:kern w:val="0"/>
          <w:sz w:val="32"/>
          <w:szCs w:val="20"/>
        </w:rPr>
      </w:pPr>
      <w:r>
        <w:rPr>
          <w:rFonts w:hint="eastAsia" w:ascii="仿宋_GB2312" w:hAnsi="Book Antiqua" w:eastAsia="仿宋_GB2312" w:cs="宋体"/>
          <w:color w:val="000000"/>
          <w:kern w:val="0"/>
          <w:sz w:val="32"/>
          <w:szCs w:val="20"/>
        </w:rPr>
        <w:t>各镇人民政府、街道办事处，滕州经济开发区管委会，市政府各部门，各企事业单位：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为深入开展民用散煤污染治理，进一步改善全市空气环境质量，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枣庄市煤炭清洁高效利用和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散煤清洁化治理工作协调小组《关于做好2018年全市洁净型煤和节能环保炉具推广工作的通知》（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枣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煤清洁〔2018〕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精神，2018年度对不能通过清洁供暖替代散烧煤供暖的区域，继续推进散煤清洁化治理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通过集中供煤的方式，大力推广洁净型煤（含型煤、优质无烟块、兰炭，下同）替代散煤，提高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民用取暖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用煤质量，并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推广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更换节能环保炉具。现就有关事项通知如下：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一、明确推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广任务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全面完成枣庄市下达的推广民用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洁净型煤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万吨、节能环保炉具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  <w:sz w:val="32"/>
          <w:szCs w:val="32"/>
        </w:rPr>
        <w:t>台的年度工作任务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二、强化组织领导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</w:rPr>
        <w:t>各镇人民政府、街道办事处是洁净型煤和节能环保炉具推广工作的责任主体，要夯实组织机构，建立工作机制，制定实施方案，细化任务目标、工作步骤、完成时限和保障措施。要明确相关责任人，逐级签订责任书，层层压实责任，抓好工作落实。各镇街实施方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要于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2018年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7月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日前报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市煤炭清洁高效利用和散煤清洁化治理工作协调小组办公室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。市直各有关单位要继续按照《滕州市人民政府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</w:rPr>
        <w:t>办公室关于加快推进全市煤炭清洁高效利用工作的实施意见》（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滕政办发〔2016〕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21号）职责分工要求，继续抓好相关工作落实。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规范供应体系建设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按照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</w:rPr>
        <w:t>全面征集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</w:rPr>
        <w:t>择优推介、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合理布局、定户供给、精准配送的原则，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综合考虑价格、质量、服务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保障能力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等因素，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lang w:eastAsia="zh-CN"/>
        </w:rPr>
        <w:t>全市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确定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lang w:val="en-US" w:eastAsia="zh-CN"/>
        </w:rPr>
        <w:t>5个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lang w:eastAsia="zh-CN"/>
        </w:rPr>
        <w:t>洁净型煤生产供应企业，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lang w:eastAsia="zh-CN"/>
        </w:rPr>
        <w:t>个节能环保炉具销售企业，面向社会公布推介产品目录。各镇街设立相应的洁净型煤、节能炉具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  <w:lang w:val="en-US" w:eastAsia="zh-CN"/>
        </w:rPr>
        <w:t>销售网点，</w:t>
      </w:r>
      <w:r>
        <w:rPr>
          <w:rFonts w:hint="eastAsia" w:ascii="仿宋_GB2312" w:hAnsi="??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规范供应流程，</w:t>
      </w:r>
      <w:r>
        <w:rPr>
          <w:rFonts w:hint="eastAsia" w:ascii="仿宋_GB2312" w:hAnsi="??" w:eastAsia="仿宋_GB2312" w:cs="仿宋_GB2312"/>
          <w:color w:val="000000"/>
          <w:spacing w:val="6"/>
          <w:kern w:val="0"/>
          <w:sz w:val="32"/>
          <w:szCs w:val="32"/>
        </w:rPr>
        <w:t>畅通供应主渠道，确保</w:t>
      </w:r>
      <w:r>
        <w:rPr>
          <w:rFonts w:hint="eastAsia" w:ascii="仿宋_GB2312" w:hAnsi="??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全面满足群众洁净型煤和节能环保炉具需求。洁净型煤要坚持包装销售，</w:t>
      </w:r>
      <w:r>
        <w:rPr>
          <w:rFonts w:hint="eastAsia" w:ascii="仿宋_GB2312" w:hAnsi="??" w:eastAsia="仿宋_GB2312" w:cs="仿宋_GB2312"/>
          <w:color w:val="000000"/>
          <w:kern w:val="0"/>
          <w:sz w:val="32"/>
          <w:szCs w:val="32"/>
        </w:rPr>
        <w:t>包装袋上要注明生产企业的名称、地址、联系电话、煤质指标等信息或在包装袋内放置标识卡。</w:t>
      </w:r>
      <w:r>
        <w:rPr>
          <w:rFonts w:hint="eastAsia" w:ascii="仿宋_GB2312" w:hAnsi="??" w:eastAsia="仿宋_GB2312" w:cs="仿宋_GB2312"/>
          <w:color w:val="000000"/>
          <w:spacing w:val="6"/>
          <w:kern w:val="0"/>
          <w:sz w:val="32"/>
          <w:szCs w:val="32"/>
          <w:lang w:eastAsia="zh-CN"/>
        </w:rPr>
        <w:t>节能炉具要贴有厂家商标，做到标识清晰、源头可溯。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落实财政引导资金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2018年度，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枣庄、滕州两级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财政按照洁净型煤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00元/吨、节能环保炉具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00元/台的标准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奖补。洁净型煤每户最高补贴2吨，不足2吨的按居民实际购买数量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进行补贴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。节能环保炉具每户最高补贴1台。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财政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奖补资金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镇街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洁净型煤和节能环保炉具的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考核完成量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据实拨付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、严格</w:t>
      </w:r>
      <w:r>
        <w:rPr>
          <w:rFonts w:hint="eastAsia" w:ascii="Times New Roman" w:hAnsi="Times New Roman" w:eastAsia="黑体" w:cs="黑体"/>
          <w:color w:val="000000" w:themeColor="text1"/>
          <w:kern w:val="0"/>
          <w:sz w:val="32"/>
          <w:szCs w:val="32"/>
        </w:rPr>
        <w:t>市场管理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2018年度，全市执行《商品煤质量民用型煤》（GB34170-2017）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型煤1号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、《商品煤质量民用散煤》（GB34169-2017）无烟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指标要求，兰炭指标控制在干基硫（St,d）≤0.30%、灰分（Ad）≤5.00%、氧化铝（Al2O3）≤1.00%、全水分≤8.0%、磷（Pd）≤0.01%）范围内。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要加强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洁净型煤市场监管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，不定期开展质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抽检活动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，每年委托具有检测资质的第三方煤质检验机构，对我市推介企业生产、销售、使用的洁净型煤产品质量抽检不少于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2次。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洁净型煤产品抽检一次不合格的给予警告，责令更换产品；抽检两次不合格的，责令更换产品、停业整顿，经整顿仍不合格的取消其加工配送资格。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要依法查处囤积、运输、销售、使用劣质散煤的行为，全面取缔无证无照散煤经营网点，严厉打击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</w:rPr>
        <w:t>走街串巷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销售劣质散煤等违法违规行为，坚决杜绝不符合煤炭质量指标要求的散煤的加工、运输、销售和使用。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</w:rPr>
        <w:t>、加大宣传引导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要充分利用各类新闻媒体、标语、条幅、村务公开栏、微信群以及宣传车等宣传工具，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积极宣讲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用好煤、保蓝天、配好炉、少用煤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的知识和政策。针对洁净型煤燃烧后无色无味的特点，特别是劣质炉具燃烧不充分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</w:rPr>
        <w:t>现象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，加强一氧化碳中毒预防知识宣传，引导居民安全、科学地使用燃煤炉具。广泛开展村居、广场、集市现场试烧推广，充分演示洁净型煤、节能环保炉具的优点，让群众感得到、看得见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eastAsia="zh-CN"/>
        </w:rPr>
        <w:t>，努力提升广大群众对洁净型煤和节能环保炉具的认知度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</w:rPr>
        <w:t>七、加强督导考核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outlineLvl w:val="9"/>
        <w:rPr>
          <w:rFonts w:hint="eastAsia" w:ascii="Times New Roman" w:hAnsi="Times New Roman" w:eastAsia="仿宋_GB2312" w:cs="黑体"/>
          <w:color w:val="000000" w:themeColor="text1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市煤炭清洁高效利用和散煤清洁化治理工作协调小组办公室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要加强督导考核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建立定期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排名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通报制度，每月通报一次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  <w:lang w:eastAsia="zh-CN"/>
        </w:rPr>
        <w:t>洁净型煤和节能环保炉具的推广工作</w:t>
      </w:r>
      <w:r>
        <w:rPr>
          <w:rFonts w:hint="eastAsia" w:ascii="仿宋_GB2312" w:hAnsi="仿宋_GB2312" w:eastAsia="仿宋_GB2312" w:cs="仿宋_GB2312"/>
          <w:color w:val="0C0C0C"/>
          <w:sz w:val="32"/>
          <w:szCs w:val="32"/>
        </w:rPr>
        <w:t>进度。对推动工作得力的部门和镇街予以宣传、表彰；对工作进度滞后、组织</w:t>
      </w:r>
      <w:r>
        <w:rPr>
          <w:rFonts w:hint="eastAsia" w:ascii="仿宋_GB2312" w:hAnsi="仿宋_GB2312" w:eastAsia="仿宋_GB2312" w:cs="仿宋_GB2312"/>
          <w:color w:val="0C0C0C"/>
          <w:spacing w:val="10"/>
          <w:sz w:val="32"/>
          <w:szCs w:val="32"/>
        </w:rPr>
        <w:t>推动不力的部门和镇街予以通报批评，并追究相关人员责任。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pacing w:val="-11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spacing w:val="-11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全市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洁净型煤和节能环保炉具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推广任务分解表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ascii="黑体" w:hAnsi="黑体" w:eastAsia="黑体" w:cs="Times New Roman"/>
          <w:color w:val="000000" w:themeColor="text1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ascii="黑体" w:hAnsi="黑体" w:eastAsia="黑体" w:cs="Times New Roman"/>
          <w:color w:val="000000" w:themeColor="text1"/>
          <w:sz w:val="32"/>
          <w:szCs w:val="32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0" w:firstLineChars="0"/>
        <w:jc w:val="center"/>
        <w:textAlignment w:val="auto"/>
        <w:outlineLvl w:val="9"/>
        <w:rPr>
          <w:rFonts w:hint="eastAsia" w:ascii="仿宋_GB2312" w:hAnsi="黑体" w:eastAsia="仿宋_GB2312" w:cs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      滕州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</w:rPr>
        <w:t>市</w:t>
      </w:r>
      <w:r>
        <w:rPr>
          <w:rFonts w:hint="eastAsia" w:ascii="仿宋_GB2312" w:hAnsi="黑体" w:eastAsia="仿宋_GB2312" w:cs="仿宋_GB2312"/>
          <w:color w:val="000000" w:themeColor="text1"/>
          <w:sz w:val="32"/>
          <w:szCs w:val="32"/>
          <w:lang w:eastAsia="zh-CN"/>
        </w:rPr>
        <w:t>人民政府办公室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0" w:firstLineChars="0"/>
        <w:jc w:val="center"/>
        <w:textAlignment w:val="auto"/>
        <w:outlineLvl w:val="9"/>
        <w:rPr>
          <w:rFonts w:ascii="仿宋_GB2312" w:hAnsi="黑体" w:eastAsia="仿宋_GB2312" w:cs="Times New Roman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 xml:space="preserve">                  </w:t>
      </w:r>
      <w:r>
        <w:rPr>
          <w:rFonts w:ascii="仿宋_GB2312" w:hAnsi="仿宋" w:eastAsia="仿宋_GB2312" w:cs="仿宋_GB2312"/>
          <w:color w:val="000000" w:themeColor="text1"/>
          <w:sz w:val="32"/>
          <w:szCs w:val="32"/>
        </w:rPr>
        <w:t>2018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  <w:t>17</w:t>
      </w:r>
      <w:r>
        <w:rPr>
          <w:rFonts w:hint="eastAsia" w:ascii="仿宋_GB2312" w:hAnsi="仿宋" w:eastAsia="仿宋_GB2312" w:cs="仿宋_GB2312"/>
          <w:color w:val="000000" w:themeColor="text1"/>
          <w:sz w:val="32"/>
          <w:szCs w:val="32"/>
        </w:rPr>
        <w:t>日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0" w:firstLineChars="0"/>
        <w:jc w:val="center"/>
        <w:textAlignment w:val="auto"/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0" w:firstLineChars="0"/>
        <w:jc w:val="center"/>
        <w:textAlignment w:val="auto"/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eastAsia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年度全市洁净型煤和节能环保炉具推广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任务分解表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0" w:firstLineChars="0"/>
        <w:jc w:val="both"/>
        <w:textAlignment w:val="auto"/>
        <w:rPr>
          <w:rFonts w:hint="eastAsia" w:ascii="仿宋_GB2312" w:hAnsi="仿宋" w:eastAsia="仿宋_GB2312" w:cs="仿宋_GB2312"/>
          <w:color w:val="000000" w:themeColor="text1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1920" w:tblpY="3398"/>
        <w:tblOverlap w:val="never"/>
        <w:tblW w:w="8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3117"/>
        <w:gridCol w:w="2533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镇街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洁净型煤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推广量（吨）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节能环保炉具（台）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鲍沟镇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滨湖镇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柴胡店镇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东郭镇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东沙河镇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大坞镇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官桥镇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洪绪镇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界河镇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级索镇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姜屯镇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龙阳镇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木石镇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南沙河镇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西岗镇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羊庄镇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张汪镇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北辛街道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荆河街道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龙泉街道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善南街道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1000</w:t>
            </w:r>
          </w:p>
        </w:tc>
        <w:tc>
          <w:tcPr>
            <w:tcW w:w="2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tabs>
          <w:tab w:val="left" w:pos="900"/>
        </w:tabs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（此页无正文）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spacing w:line="400" w:lineRule="exact"/>
        <w:jc w:val="right"/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/>
        </w:rPr>
        <w:pict>
          <v:line id="直线 8" o:spid="_x0000_s2050" o:spt="20" style="position:absolute;left:0pt;margin-top:13pt;height:2pt;width:430.85pt;mso-position-horizontal:center;z-index:25165824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 xml:space="preserve"> 抄送：</w:t>
      </w:r>
      <w:r>
        <w:rPr>
          <w:rFonts w:hint="eastAsia" w:ascii="仿宋_GB2312" w:eastAsia="仿宋_GB2312"/>
          <w:sz w:val="28"/>
          <w:szCs w:val="28"/>
        </w:rPr>
        <w:t xml:space="preserve">市委办公室，市人大常委会办公室，市政协办公室，市纪委 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办公室，市法院，市检察院，市人武部。</w:t>
      </w:r>
    </w:p>
    <w:p>
      <w:pPr>
        <w:spacing w:line="2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pict>
          <v:line id="直线 9" o:spid="_x0000_s2051" o:spt="20" style="position:absolute;left:0pt;margin-top:3.05pt;height:0pt;width:430.85pt;mso-position-horizontal:center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    </w:t>
      </w:r>
    </w:p>
    <w:p>
      <w:pPr>
        <w:spacing w:line="400" w:lineRule="exact"/>
        <w:ind w:firstLine="42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pict>
          <v:line id="直线 10" o:spid="_x0000_s2052" o:spt="20" style="position:absolute;left:0pt;margin-top:24.45pt;height:0.6pt;width:430.85pt;mso-position-horizontal:center;z-index:25166028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>滕州市人民政府办公室                   2018年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</w:t>
      </w:r>
      <w:r>
        <w:rPr>
          <w:rFonts w:hint="eastAsia" w:ascii="仿宋_GB2312" w:eastAsia="仿宋_GB2312"/>
          <w:sz w:val="28"/>
          <w:szCs w:val="28"/>
        </w:rPr>
        <w:t>日印发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0" w:firstLineChars="0"/>
        <w:jc w:val="both"/>
        <w:textAlignment w:val="auto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cs="Times New Roman"/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oNotHyphenateCaps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8CB7844"/>
    <w:rsid w:val="00012155"/>
    <w:rsid w:val="0003609E"/>
    <w:rsid w:val="000414FF"/>
    <w:rsid w:val="000550B4"/>
    <w:rsid w:val="00060F67"/>
    <w:rsid w:val="000879AA"/>
    <w:rsid w:val="00095AD5"/>
    <w:rsid w:val="000B0F96"/>
    <w:rsid w:val="000B1E72"/>
    <w:rsid w:val="000B3446"/>
    <w:rsid w:val="000D2435"/>
    <w:rsid w:val="000D3672"/>
    <w:rsid w:val="000E6470"/>
    <w:rsid w:val="000F4F62"/>
    <w:rsid w:val="0011309E"/>
    <w:rsid w:val="00114643"/>
    <w:rsid w:val="0011562B"/>
    <w:rsid w:val="001301A9"/>
    <w:rsid w:val="00131B5D"/>
    <w:rsid w:val="001327D7"/>
    <w:rsid w:val="00135118"/>
    <w:rsid w:val="00142E11"/>
    <w:rsid w:val="00160247"/>
    <w:rsid w:val="001628BA"/>
    <w:rsid w:val="00180505"/>
    <w:rsid w:val="001C0A76"/>
    <w:rsid w:val="001E31EF"/>
    <w:rsid w:val="00205282"/>
    <w:rsid w:val="00221393"/>
    <w:rsid w:val="002274F2"/>
    <w:rsid w:val="00234EAA"/>
    <w:rsid w:val="00250F5D"/>
    <w:rsid w:val="002708A8"/>
    <w:rsid w:val="002A0FEE"/>
    <w:rsid w:val="002F140D"/>
    <w:rsid w:val="002F1AB3"/>
    <w:rsid w:val="003206A9"/>
    <w:rsid w:val="00340BBB"/>
    <w:rsid w:val="0034756B"/>
    <w:rsid w:val="003771B9"/>
    <w:rsid w:val="0039228A"/>
    <w:rsid w:val="003A4E1A"/>
    <w:rsid w:val="003A5D05"/>
    <w:rsid w:val="003B02DA"/>
    <w:rsid w:val="003C6707"/>
    <w:rsid w:val="003D52FA"/>
    <w:rsid w:val="00406982"/>
    <w:rsid w:val="00421E1A"/>
    <w:rsid w:val="00426C66"/>
    <w:rsid w:val="004756F7"/>
    <w:rsid w:val="0047679C"/>
    <w:rsid w:val="004A260A"/>
    <w:rsid w:val="004B490B"/>
    <w:rsid w:val="004E1AE6"/>
    <w:rsid w:val="004F6EEC"/>
    <w:rsid w:val="00511D84"/>
    <w:rsid w:val="00522E78"/>
    <w:rsid w:val="00532F6F"/>
    <w:rsid w:val="00557A0C"/>
    <w:rsid w:val="00575FA4"/>
    <w:rsid w:val="00584B4A"/>
    <w:rsid w:val="00585DDA"/>
    <w:rsid w:val="00590DAC"/>
    <w:rsid w:val="005A11F7"/>
    <w:rsid w:val="005A4F68"/>
    <w:rsid w:val="005A688D"/>
    <w:rsid w:val="005E6812"/>
    <w:rsid w:val="005F6B67"/>
    <w:rsid w:val="006205D6"/>
    <w:rsid w:val="006264E7"/>
    <w:rsid w:val="00632DBF"/>
    <w:rsid w:val="006614E4"/>
    <w:rsid w:val="00673FB6"/>
    <w:rsid w:val="006917C4"/>
    <w:rsid w:val="006F1CDD"/>
    <w:rsid w:val="00730BB6"/>
    <w:rsid w:val="00772060"/>
    <w:rsid w:val="007721B2"/>
    <w:rsid w:val="0077604D"/>
    <w:rsid w:val="007B74B0"/>
    <w:rsid w:val="007C0300"/>
    <w:rsid w:val="007C1C61"/>
    <w:rsid w:val="007D1F13"/>
    <w:rsid w:val="007D5FF4"/>
    <w:rsid w:val="007E0FDC"/>
    <w:rsid w:val="007E2C42"/>
    <w:rsid w:val="00806F52"/>
    <w:rsid w:val="0081076B"/>
    <w:rsid w:val="0081409A"/>
    <w:rsid w:val="00833583"/>
    <w:rsid w:val="008364A0"/>
    <w:rsid w:val="00865DA3"/>
    <w:rsid w:val="00890516"/>
    <w:rsid w:val="00892662"/>
    <w:rsid w:val="008A6E62"/>
    <w:rsid w:val="008D4576"/>
    <w:rsid w:val="008D77DA"/>
    <w:rsid w:val="008E462C"/>
    <w:rsid w:val="008E7B8B"/>
    <w:rsid w:val="009159CB"/>
    <w:rsid w:val="0097062C"/>
    <w:rsid w:val="009C6497"/>
    <w:rsid w:val="009D0A00"/>
    <w:rsid w:val="00A00B61"/>
    <w:rsid w:val="00A0621B"/>
    <w:rsid w:val="00A12260"/>
    <w:rsid w:val="00A208E9"/>
    <w:rsid w:val="00A57C7D"/>
    <w:rsid w:val="00AA3F82"/>
    <w:rsid w:val="00AA4943"/>
    <w:rsid w:val="00AB0442"/>
    <w:rsid w:val="00AB1EA8"/>
    <w:rsid w:val="00AE1F08"/>
    <w:rsid w:val="00AE4D3B"/>
    <w:rsid w:val="00B00364"/>
    <w:rsid w:val="00B413F3"/>
    <w:rsid w:val="00B63EF3"/>
    <w:rsid w:val="00BC2F18"/>
    <w:rsid w:val="00BD5B86"/>
    <w:rsid w:val="00BE1952"/>
    <w:rsid w:val="00BF07D8"/>
    <w:rsid w:val="00BF55F7"/>
    <w:rsid w:val="00BF6B57"/>
    <w:rsid w:val="00C061ED"/>
    <w:rsid w:val="00C57842"/>
    <w:rsid w:val="00CA63FC"/>
    <w:rsid w:val="00CF3775"/>
    <w:rsid w:val="00CF6928"/>
    <w:rsid w:val="00D16D92"/>
    <w:rsid w:val="00D17103"/>
    <w:rsid w:val="00D2451F"/>
    <w:rsid w:val="00D278C9"/>
    <w:rsid w:val="00D30504"/>
    <w:rsid w:val="00D326AB"/>
    <w:rsid w:val="00D4250F"/>
    <w:rsid w:val="00D637B8"/>
    <w:rsid w:val="00D74955"/>
    <w:rsid w:val="00D94214"/>
    <w:rsid w:val="00D946FA"/>
    <w:rsid w:val="00D94C19"/>
    <w:rsid w:val="00DA0F5F"/>
    <w:rsid w:val="00DB33F0"/>
    <w:rsid w:val="00DB4417"/>
    <w:rsid w:val="00DD34CF"/>
    <w:rsid w:val="00DE0EC1"/>
    <w:rsid w:val="00E043B6"/>
    <w:rsid w:val="00E114F1"/>
    <w:rsid w:val="00E11A96"/>
    <w:rsid w:val="00E2244A"/>
    <w:rsid w:val="00E26CB5"/>
    <w:rsid w:val="00E660AB"/>
    <w:rsid w:val="00E7735D"/>
    <w:rsid w:val="00E81271"/>
    <w:rsid w:val="00EA036C"/>
    <w:rsid w:val="00EA4EF4"/>
    <w:rsid w:val="00EC6105"/>
    <w:rsid w:val="00ED41A7"/>
    <w:rsid w:val="00EE74DE"/>
    <w:rsid w:val="00F327DB"/>
    <w:rsid w:val="00F40147"/>
    <w:rsid w:val="00F46B37"/>
    <w:rsid w:val="00F47157"/>
    <w:rsid w:val="00F51F30"/>
    <w:rsid w:val="00F57B8A"/>
    <w:rsid w:val="00F61440"/>
    <w:rsid w:val="00F65EC5"/>
    <w:rsid w:val="00F86F5D"/>
    <w:rsid w:val="00F96617"/>
    <w:rsid w:val="010741EB"/>
    <w:rsid w:val="01E111F0"/>
    <w:rsid w:val="02290B33"/>
    <w:rsid w:val="027014D9"/>
    <w:rsid w:val="03243ECA"/>
    <w:rsid w:val="03B611F3"/>
    <w:rsid w:val="03D644D2"/>
    <w:rsid w:val="040E0B72"/>
    <w:rsid w:val="04380E77"/>
    <w:rsid w:val="04D81D24"/>
    <w:rsid w:val="050D5CD1"/>
    <w:rsid w:val="051175AE"/>
    <w:rsid w:val="05165426"/>
    <w:rsid w:val="056F72B2"/>
    <w:rsid w:val="05782CA1"/>
    <w:rsid w:val="0604753F"/>
    <w:rsid w:val="0696099E"/>
    <w:rsid w:val="069944EA"/>
    <w:rsid w:val="069F2248"/>
    <w:rsid w:val="06C31A08"/>
    <w:rsid w:val="06EB6035"/>
    <w:rsid w:val="07393E9E"/>
    <w:rsid w:val="07606787"/>
    <w:rsid w:val="076B2C0D"/>
    <w:rsid w:val="07D0017E"/>
    <w:rsid w:val="085129BC"/>
    <w:rsid w:val="090F4A7B"/>
    <w:rsid w:val="09222E37"/>
    <w:rsid w:val="09727E24"/>
    <w:rsid w:val="099C3BEB"/>
    <w:rsid w:val="09DE5EBA"/>
    <w:rsid w:val="0A0208DC"/>
    <w:rsid w:val="0A6E70B2"/>
    <w:rsid w:val="0A84502F"/>
    <w:rsid w:val="0ABA2AFC"/>
    <w:rsid w:val="0AF21B2A"/>
    <w:rsid w:val="0AFC249D"/>
    <w:rsid w:val="0B037754"/>
    <w:rsid w:val="0B3C0F28"/>
    <w:rsid w:val="0B6E7119"/>
    <w:rsid w:val="0C2E5555"/>
    <w:rsid w:val="0C4D1EEF"/>
    <w:rsid w:val="0C6244FC"/>
    <w:rsid w:val="0CA2125F"/>
    <w:rsid w:val="0CB12764"/>
    <w:rsid w:val="0CC339D6"/>
    <w:rsid w:val="0CCA34A3"/>
    <w:rsid w:val="0D810524"/>
    <w:rsid w:val="0DB54195"/>
    <w:rsid w:val="0DDB4D4D"/>
    <w:rsid w:val="0DDD2A30"/>
    <w:rsid w:val="0DFB5C23"/>
    <w:rsid w:val="0E191954"/>
    <w:rsid w:val="0E220A02"/>
    <w:rsid w:val="0E2572FA"/>
    <w:rsid w:val="0E517D7B"/>
    <w:rsid w:val="0ED25BBF"/>
    <w:rsid w:val="0ED62D56"/>
    <w:rsid w:val="0F210732"/>
    <w:rsid w:val="0F311D78"/>
    <w:rsid w:val="0F5D4BD5"/>
    <w:rsid w:val="0F6F760C"/>
    <w:rsid w:val="102266FC"/>
    <w:rsid w:val="105A274C"/>
    <w:rsid w:val="1077643A"/>
    <w:rsid w:val="109F2C47"/>
    <w:rsid w:val="10CC5480"/>
    <w:rsid w:val="10DA1D8F"/>
    <w:rsid w:val="111005A3"/>
    <w:rsid w:val="1141476C"/>
    <w:rsid w:val="1243381B"/>
    <w:rsid w:val="124B3C58"/>
    <w:rsid w:val="12665F00"/>
    <w:rsid w:val="128672EB"/>
    <w:rsid w:val="12967783"/>
    <w:rsid w:val="12C14A1F"/>
    <w:rsid w:val="12EA7485"/>
    <w:rsid w:val="13141E0D"/>
    <w:rsid w:val="139A2836"/>
    <w:rsid w:val="13BD7E18"/>
    <w:rsid w:val="13C91B2A"/>
    <w:rsid w:val="147B731C"/>
    <w:rsid w:val="149F4711"/>
    <w:rsid w:val="153E4BBA"/>
    <w:rsid w:val="156E322D"/>
    <w:rsid w:val="15782141"/>
    <w:rsid w:val="15D160D8"/>
    <w:rsid w:val="15F11250"/>
    <w:rsid w:val="162061BA"/>
    <w:rsid w:val="162157BC"/>
    <w:rsid w:val="164F0EC5"/>
    <w:rsid w:val="16BC1460"/>
    <w:rsid w:val="16BD6932"/>
    <w:rsid w:val="17081F18"/>
    <w:rsid w:val="172825B4"/>
    <w:rsid w:val="17516D12"/>
    <w:rsid w:val="175209EF"/>
    <w:rsid w:val="177A7299"/>
    <w:rsid w:val="17854B8B"/>
    <w:rsid w:val="17C360D9"/>
    <w:rsid w:val="184B6CD8"/>
    <w:rsid w:val="18DC7E1F"/>
    <w:rsid w:val="18DF2644"/>
    <w:rsid w:val="19460110"/>
    <w:rsid w:val="196B594A"/>
    <w:rsid w:val="19A279DC"/>
    <w:rsid w:val="19BB4398"/>
    <w:rsid w:val="19F457D0"/>
    <w:rsid w:val="1A062E78"/>
    <w:rsid w:val="1A1E7AC9"/>
    <w:rsid w:val="1A2A164A"/>
    <w:rsid w:val="1A65021F"/>
    <w:rsid w:val="1A7340FA"/>
    <w:rsid w:val="1A7C02EF"/>
    <w:rsid w:val="1B1B4BFC"/>
    <w:rsid w:val="1B3B5ABB"/>
    <w:rsid w:val="1B54537D"/>
    <w:rsid w:val="1B604553"/>
    <w:rsid w:val="1B6F4E61"/>
    <w:rsid w:val="1B84341E"/>
    <w:rsid w:val="1BA24F8B"/>
    <w:rsid w:val="1BA85FDB"/>
    <w:rsid w:val="1BED0435"/>
    <w:rsid w:val="1C015A9C"/>
    <w:rsid w:val="1C552A35"/>
    <w:rsid w:val="1C5D1F00"/>
    <w:rsid w:val="1C743B2F"/>
    <w:rsid w:val="1CA20F75"/>
    <w:rsid w:val="1CC043D8"/>
    <w:rsid w:val="1D14379F"/>
    <w:rsid w:val="1D641155"/>
    <w:rsid w:val="1DB46307"/>
    <w:rsid w:val="1E1636DA"/>
    <w:rsid w:val="1E375B7B"/>
    <w:rsid w:val="1EAF572A"/>
    <w:rsid w:val="1ECC1502"/>
    <w:rsid w:val="1ED43206"/>
    <w:rsid w:val="1F956372"/>
    <w:rsid w:val="1F9E6AF2"/>
    <w:rsid w:val="1FA363E9"/>
    <w:rsid w:val="1FAC0EEF"/>
    <w:rsid w:val="1FD47BB7"/>
    <w:rsid w:val="20021DFA"/>
    <w:rsid w:val="20305795"/>
    <w:rsid w:val="209B2948"/>
    <w:rsid w:val="20E03490"/>
    <w:rsid w:val="210101AB"/>
    <w:rsid w:val="21292B68"/>
    <w:rsid w:val="217242F8"/>
    <w:rsid w:val="21C47B1E"/>
    <w:rsid w:val="21D80D4D"/>
    <w:rsid w:val="22387B16"/>
    <w:rsid w:val="22D208C9"/>
    <w:rsid w:val="22F974E9"/>
    <w:rsid w:val="233F2F1C"/>
    <w:rsid w:val="238B19AB"/>
    <w:rsid w:val="23977E8F"/>
    <w:rsid w:val="23EE1886"/>
    <w:rsid w:val="24136374"/>
    <w:rsid w:val="2476552D"/>
    <w:rsid w:val="24A629B6"/>
    <w:rsid w:val="254E2A6E"/>
    <w:rsid w:val="25745AC7"/>
    <w:rsid w:val="260E39BF"/>
    <w:rsid w:val="261364D2"/>
    <w:rsid w:val="261B30EA"/>
    <w:rsid w:val="268C1303"/>
    <w:rsid w:val="26900D9D"/>
    <w:rsid w:val="26E5454D"/>
    <w:rsid w:val="26F311DC"/>
    <w:rsid w:val="27606857"/>
    <w:rsid w:val="278A0EC6"/>
    <w:rsid w:val="27A14F85"/>
    <w:rsid w:val="27F95FB4"/>
    <w:rsid w:val="283955F2"/>
    <w:rsid w:val="28551FF3"/>
    <w:rsid w:val="28BC008D"/>
    <w:rsid w:val="29062A1C"/>
    <w:rsid w:val="290D39CF"/>
    <w:rsid w:val="292A2792"/>
    <w:rsid w:val="293213BF"/>
    <w:rsid w:val="29C10946"/>
    <w:rsid w:val="29D50AF4"/>
    <w:rsid w:val="29E97C42"/>
    <w:rsid w:val="29FD1A78"/>
    <w:rsid w:val="2A117D91"/>
    <w:rsid w:val="2A575118"/>
    <w:rsid w:val="2B3055F2"/>
    <w:rsid w:val="2BBC5C80"/>
    <w:rsid w:val="2BF66B38"/>
    <w:rsid w:val="2C5D2D98"/>
    <w:rsid w:val="2C6F27A5"/>
    <w:rsid w:val="2C971321"/>
    <w:rsid w:val="2CED2687"/>
    <w:rsid w:val="2D0D2903"/>
    <w:rsid w:val="2DCF1940"/>
    <w:rsid w:val="2DD65C3A"/>
    <w:rsid w:val="2DED7F20"/>
    <w:rsid w:val="2E2A3A9F"/>
    <w:rsid w:val="2E7F44BD"/>
    <w:rsid w:val="2E825621"/>
    <w:rsid w:val="2E9562A2"/>
    <w:rsid w:val="2EA2540A"/>
    <w:rsid w:val="2EC66575"/>
    <w:rsid w:val="2F04649F"/>
    <w:rsid w:val="2F134A18"/>
    <w:rsid w:val="2F4148BA"/>
    <w:rsid w:val="2FCB706D"/>
    <w:rsid w:val="2FD62F5B"/>
    <w:rsid w:val="2FDA3B95"/>
    <w:rsid w:val="2FED7D9E"/>
    <w:rsid w:val="300546CF"/>
    <w:rsid w:val="30161685"/>
    <w:rsid w:val="304747A1"/>
    <w:rsid w:val="305A64BF"/>
    <w:rsid w:val="308710A4"/>
    <w:rsid w:val="30AF5EDD"/>
    <w:rsid w:val="31784C5E"/>
    <w:rsid w:val="318B4618"/>
    <w:rsid w:val="318F67E8"/>
    <w:rsid w:val="31B87B65"/>
    <w:rsid w:val="31DC5A31"/>
    <w:rsid w:val="31DF4DCA"/>
    <w:rsid w:val="31FE0A11"/>
    <w:rsid w:val="321F1B1E"/>
    <w:rsid w:val="322652C6"/>
    <w:rsid w:val="32435057"/>
    <w:rsid w:val="33106674"/>
    <w:rsid w:val="331B1343"/>
    <w:rsid w:val="332146C3"/>
    <w:rsid w:val="33250378"/>
    <w:rsid w:val="3439748F"/>
    <w:rsid w:val="34A5787F"/>
    <w:rsid w:val="34B90BB3"/>
    <w:rsid w:val="34CA11F2"/>
    <w:rsid w:val="35381403"/>
    <w:rsid w:val="35877DA6"/>
    <w:rsid w:val="358D6906"/>
    <w:rsid w:val="35C82B4B"/>
    <w:rsid w:val="35C83D66"/>
    <w:rsid w:val="365751C3"/>
    <w:rsid w:val="36832199"/>
    <w:rsid w:val="3699257D"/>
    <w:rsid w:val="36BA19F1"/>
    <w:rsid w:val="36E93F47"/>
    <w:rsid w:val="371D05D0"/>
    <w:rsid w:val="37EA1759"/>
    <w:rsid w:val="38105215"/>
    <w:rsid w:val="38B2296E"/>
    <w:rsid w:val="38E10B3E"/>
    <w:rsid w:val="39021C04"/>
    <w:rsid w:val="391827ED"/>
    <w:rsid w:val="39527D9C"/>
    <w:rsid w:val="39796A69"/>
    <w:rsid w:val="39FA613B"/>
    <w:rsid w:val="3A367139"/>
    <w:rsid w:val="3A3B422F"/>
    <w:rsid w:val="3A543B70"/>
    <w:rsid w:val="3A5D3A3D"/>
    <w:rsid w:val="3A8B3BB7"/>
    <w:rsid w:val="3A942727"/>
    <w:rsid w:val="3B044B80"/>
    <w:rsid w:val="3B4B1FAE"/>
    <w:rsid w:val="3B6708B5"/>
    <w:rsid w:val="3B7822D8"/>
    <w:rsid w:val="3BDD1949"/>
    <w:rsid w:val="3C00660D"/>
    <w:rsid w:val="3C9E0EF0"/>
    <w:rsid w:val="3CCA52F8"/>
    <w:rsid w:val="3CDB6203"/>
    <w:rsid w:val="3CF04C5F"/>
    <w:rsid w:val="3D052CFA"/>
    <w:rsid w:val="3D0D60DF"/>
    <w:rsid w:val="3D8E1B2B"/>
    <w:rsid w:val="3D941FCD"/>
    <w:rsid w:val="3DB96C7C"/>
    <w:rsid w:val="3DC537F6"/>
    <w:rsid w:val="3DDA64D4"/>
    <w:rsid w:val="3E2959C9"/>
    <w:rsid w:val="3EC81FEE"/>
    <w:rsid w:val="3EE322E5"/>
    <w:rsid w:val="3EEF1F97"/>
    <w:rsid w:val="3EF42756"/>
    <w:rsid w:val="3EF73B4F"/>
    <w:rsid w:val="3EF868CA"/>
    <w:rsid w:val="3FB6473B"/>
    <w:rsid w:val="3FB83754"/>
    <w:rsid w:val="3FEB66E4"/>
    <w:rsid w:val="40141791"/>
    <w:rsid w:val="40150848"/>
    <w:rsid w:val="40183E2A"/>
    <w:rsid w:val="405F6642"/>
    <w:rsid w:val="4162656A"/>
    <w:rsid w:val="416C25C7"/>
    <w:rsid w:val="41903A84"/>
    <w:rsid w:val="41A60091"/>
    <w:rsid w:val="41C055C5"/>
    <w:rsid w:val="41D71A42"/>
    <w:rsid w:val="41E213EE"/>
    <w:rsid w:val="420F44B5"/>
    <w:rsid w:val="42355A86"/>
    <w:rsid w:val="42874BE5"/>
    <w:rsid w:val="429E5B59"/>
    <w:rsid w:val="42A600D5"/>
    <w:rsid w:val="42BD62C6"/>
    <w:rsid w:val="43930D7F"/>
    <w:rsid w:val="43B14402"/>
    <w:rsid w:val="4402088B"/>
    <w:rsid w:val="440A3C01"/>
    <w:rsid w:val="44301EB3"/>
    <w:rsid w:val="4432751A"/>
    <w:rsid w:val="4447658F"/>
    <w:rsid w:val="44D71106"/>
    <w:rsid w:val="44EA45B1"/>
    <w:rsid w:val="44EE2E8A"/>
    <w:rsid w:val="44F6687E"/>
    <w:rsid w:val="45BF6741"/>
    <w:rsid w:val="45C308C3"/>
    <w:rsid w:val="460D3838"/>
    <w:rsid w:val="463A1363"/>
    <w:rsid w:val="467A010F"/>
    <w:rsid w:val="468416D5"/>
    <w:rsid w:val="473673C3"/>
    <w:rsid w:val="47862A42"/>
    <w:rsid w:val="47C64C79"/>
    <w:rsid w:val="47CC1BC1"/>
    <w:rsid w:val="48347D96"/>
    <w:rsid w:val="486044D8"/>
    <w:rsid w:val="48686E5B"/>
    <w:rsid w:val="489B4869"/>
    <w:rsid w:val="48A0347B"/>
    <w:rsid w:val="48C039D9"/>
    <w:rsid w:val="490E15D0"/>
    <w:rsid w:val="49446EB1"/>
    <w:rsid w:val="496002A1"/>
    <w:rsid w:val="49AF5E67"/>
    <w:rsid w:val="49FF5B7F"/>
    <w:rsid w:val="4A4640C6"/>
    <w:rsid w:val="4A4C16B7"/>
    <w:rsid w:val="4A513C53"/>
    <w:rsid w:val="4A761266"/>
    <w:rsid w:val="4BA81E47"/>
    <w:rsid w:val="4BB50D37"/>
    <w:rsid w:val="4BC33E02"/>
    <w:rsid w:val="4C0210E5"/>
    <w:rsid w:val="4CFF4074"/>
    <w:rsid w:val="4D446808"/>
    <w:rsid w:val="4DE168FD"/>
    <w:rsid w:val="4DED5398"/>
    <w:rsid w:val="4EA70EA8"/>
    <w:rsid w:val="4F3640CE"/>
    <w:rsid w:val="4F742E63"/>
    <w:rsid w:val="4FBF195C"/>
    <w:rsid w:val="4FD356DA"/>
    <w:rsid w:val="4FF13D55"/>
    <w:rsid w:val="50665663"/>
    <w:rsid w:val="5067362E"/>
    <w:rsid w:val="509728E7"/>
    <w:rsid w:val="50C7034C"/>
    <w:rsid w:val="515836D7"/>
    <w:rsid w:val="517F59C8"/>
    <w:rsid w:val="519E6104"/>
    <w:rsid w:val="51E54D85"/>
    <w:rsid w:val="51FC7EDA"/>
    <w:rsid w:val="522E5A9E"/>
    <w:rsid w:val="52522C19"/>
    <w:rsid w:val="527229DE"/>
    <w:rsid w:val="527A54D5"/>
    <w:rsid w:val="52AE0894"/>
    <w:rsid w:val="52C3555A"/>
    <w:rsid w:val="53A6748D"/>
    <w:rsid w:val="53B07A2C"/>
    <w:rsid w:val="540C6AD7"/>
    <w:rsid w:val="54194612"/>
    <w:rsid w:val="547C4483"/>
    <w:rsid w:val="548D7FF3"/>
    <w:rsid w:val="54EB55C6"/>
    <w:rsid w:val="54F33836"/>
    <w:rsid w:val="55C82852"/>
    <w:rsid w:val="56181977"/>
    <w:rsid w:val="562911D7"/>
    <w:rsid w:val="569A1D93"/>
    <w:rsid w:val="56A84CEA"/>
    <w:rsid w:val="56FA01B9"/>
    <w:rsid w:val="56FF25E1"/>
    <w:rsid w:val="57204519"/>
    <w:rsid w:val="579E453E"/>
    <w:rsid w:val="57A20A04"/>
    <w:rsid w:val="57D74476"/>
    <w:rsid w:val="57DB0247"/>
    <w:rsid w:val="57F324D7"/>
    <w:rsid w:val="582E6022"/>
    <w:rsid w:val="587165FD"/>
    <w:rsid w:val="58CB7844"/>
    <w:rsid w:val="59026629"/>
    <w:rsid w:val="59A71A61"/>
    <w:rsid w:val="5A514D5E"/>
    <w:rsid w:val="5A6A1259"/>
    <w:rsid w:val="5A71266F"/>
    <w:rsid w:val="5A82451F"/>
    <w:rsid w:val="5AC77B97"/>
    <w:rsid w:val="5B2F4F8C"/>
    <w:rsid w:val="5B7347E3"/>
    <w:rsid w:val="5B75686A"/>
    <w:rsid w:val="5B8079A7"/>
    <w:rsid w:val="5B9359A3"/>
    <w:rsid w:val="5C2377ED"/>
    <w:rsid w:val="5C547C14"/>
    <w:rsid w:val="5D1F0DFE"/>
    <w:rsid w:val="5D532503"/>
    <w:rsid w:val="5D6875DB"/>
    <w:rsid w:val="5DD21050"/>
    <w:rsid w:val="5E5935CB"/>
    <w:rsid w:val="5E982F01"/>
    <w:rsid w:val="5EC56E0D"/>
    <w:rsid w:val="5EE00C65"/>
    <w:rsid w:val="5EE94A8B"/>
    <w:rsid w:val="5EF26040"/>
    <w:rsid w:val="5F1055BF"/>
    <w:rsid w:val="5F1A0CC0"/>
    <w:rsid w:val="5F290C39"/>
    <w:rsid w:val="5F294447"/>
    <w:rsid w:val="5F567893"/>
    <w:rsid w:val="5F5E6DA3"/>
    <w:rsid w:val="5FD257CC"/>
    <w:rsid w:val="5FD93B16"/>
    <w:rsid w:val="5FEF532A"/>
    <w:rsid w:val="6008450C"/>
    <w:rsid w:val="603050F5"/>
    <w:rsid w:val="6036569C"/>
    <w:rsid w:val="60587031"/>
    <w:rsid w:val="606E31CE"/>
    <w:rsid w:val="610F60D9"/>
    <w:rsid w:val="611453AE"/>
    <w:rsid w:val="612D3833"/>
    <w:rsid w:val="613B5CD0"/>
    <w:rsid w:val="615C790B"/>
    <w:rsid w:val="61832041"/>
    <w:rsid w:val="619003AC"/>
    <w:rsid w:val="622400CD"/>
    <w:rsid w:val="622B71DF"/>
    <w:rsid w:val="625C5415"/>
    <w:rsid w:val="628B3ADA"/>
    <w:rsid w:val="629757AE"/>
    <w:rsid w:val="62D7521D"/>
    <w:rsid w:val="631C3DB1"/>
    <w:rsid w:val="63AB186C"/>
    <w:rsid w:val="63B83694"/>
    <w:rsid w:val="64351739"/>
    <w:rsid w:val="64405DF3"/>
    <w:rsid w:val="64DA2557"/>
    <w:rsid w:val="65A074A4"/>
    <w:rsid w:val="65AD324A"/>
    <w:rsid w:val="66233A07"/>
    <w:rsid w:val="66363B71"/>
    <w:rsid w:val="66375D99"/>
    <w:rsid w:val="66941902"/>
    <w:rsid w:val="67756E8B"/>
    <w:rsid w:val="67C4793F"/>
    <w:rsid w:val="67C921C3"/>
    <w:rsid w:val="67D87950"/>
    <w:rsid w:val="67E06BF9"/>
    <w:rsid w:val="68023507"/>
    <w:rsid w:val="68093DA0"/>
    <w:rsid w:val="680C4FD0"/>
    <w:rsid w:val="689D5CA7"/>
    <w:rsid w:val="69090A45"/>
    <w:rsid w:val="69CC5873"/>
    <w:rsid w:val="6A322467"/>
    <w:rsid w:val="6A412D98"/>
    <w:rsid w:val="6A734489"/>
    <w:rsid w:val="6A92390F"/>
    <w:rsid w:val="6AB01F64"/>
    <w:rsid w:val="6ABB4E02"/>
    <w:rsid w:val="6B4124D9"/>
    <w:rsid w:val="6B573F83"/>
    <w:rsid w:val="6BF650C3"/>
    <w:rsid w:val="6C215AF3"/>
    <w:rsid w:val="6C7214E9"/>
    <w:rsid w:val="6C845E5A"/>
    <w:rsid w:val="6CC6200E"/>
    <w:rsid w:val="6CDA0A87"/>
    <w:rsid w:val="6CDC77A4"/>
    <w:rsid w:val="6D9D2B3C"/>
    <w:rsid w:val="6DC1747A"/>
    <w:rsid w:val="6DD413B1"/>
    <w:rsid w:val="6DFB24C5"/>
    <w:rsid w:val="6E09720E"/>
    <w:rsid w:val="6E113062"/>
    <w:rsid w:val="6EE9201F"/>
    <w:rsid w:val="6F0B5845"/>
    <w:rsid w:val="6F1971D8"/>
    <w:rsid w:val="6F1D68B9"/>
    <w:rsid w:val="6F7142D1"/>
    <w:rsid w:val="6FD163DA"/>
    <w:rsid w:val="6FE13B72"/>
    <w:rsid w:val="70531C5D"/>
    <w:rsid w:val="706D3428"/>
    <w:rsid w:val="708E7740"/>
    <w:rsid w:val="70CA1FB1"/>
    <w:rsid w:val="71014950"/>
    <w:rsid w:val="716A7DC1"/>
    <w:rsid w:val="71890155"/>
    <w:rsid w:val="71D869BE"/>
    <w:rsid w:val="71FD7848"/>
    <w:rsid w:val="725746D6"/>
    <w:rsid w:val="73334A31"/>
    <w:rsid w:val="736B4A41"/>
    <w:rsid w:val="740C411C"/>
    <w:rsid w:val="7480793E"/>
    <w:rsid w:val="74C416D4"/>
    <w:rsid w:val="754F4B02"/>
    <w:rsid w:val="756A1F5C"/>
    <w:rsid w:val="758D7CC9"/>
    <w:rsid w:val="76034806"/>
    <w:rsid w:val="76274BF4"/>
    <w:rsid w:val="7633419D"/>
    <w:rsid w:val="76545971"/>
    <w:rsid w:val="76B448F4"/>
    <w:rsid w:val="76B54958"/>
    <w:rsid w:val="76FB2FB0"/>
    <w:rsid w:val="77695B10"/>
    <w:rsid w:val="776C6A84"/>
    <w:rsid w:val="77761649"/>
    <w:rsid w:val="77AC2952"/>
    <w:rsid w:val="78316D1F"/>
    <w:rsid w:val="783844B9"/>
    <w:rsid w:val="78493D7B"/>
    <w:rsid w:val="78AC5E9B"/>
    <w:rsid w:val="792A1766"/>
    <w:rsid w:val="79382C97"/>
    <w:rsid w:val="7948132A"/>
    <w:rsid w:val="79B126CD"/>
    <w:rsid w:val="79D90E25"/>
    <w:rsid w:val="7A0210F0"/>
    <w:rsid w:val="7A0B52C8"/>
    <w:rsid w:val="7A361E41"/>
    <w:rsid w:val="7A5669FB"/>
    <w:rsid w:val="7A8C6017"/>
    <w:rsid w:val="7AA34340"/>
    <w:rsid w:val="7AA53560"/>
    <w:rsid w:val="7AAF2D77"/>
    <w:rsid w:val="7AD52C07"/>
    <w:rsid w:val="7AEB25D3"/>
    <w:rsid w:val="7BA51B00"/>
    <w:rsid w:val="7BDA3790"/>
    <w:rsid w:val="7C0332BF"/>
    <w:rsid w:val="7C420CF0"/>
    <w:rsid w:val="7CDB21C0"/>
    <w:rsid w:val="7CEA21AC"/>
    <w:rsid w:val="7CED3DD5"/>
    <w:rsid w:val="7D2F4CC2"/>
    <w:rsid w:val="7D4D1A44"/>
    <w:rsid w:val="7D7825A3"/>
    <w:rsid w:val="7D9B612F"/>
    <w:rsid w:val="7DA554B8"/>
    <w:rsid w:val="7DC0313C"/>
    <w:rsid w:val="7DE10507"/>
    <w:rsid w:val="7DE475DC"/>
    <w:rsid w:val="7DEA2CD4"/>
    <w:rsid w:val="7E105828"/>
    <w:rsid w:val="7E6A2CF2"/>
    <w:rsid w:val="7ED82B28"/>
    <w:rsid w:val="7F6E2E9E"/>
    <w:rsid w:val="7F850843"/>
    <w:rsid w:val="7FA0050A"/>
    <w:rsid w:val="7FA1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qFormat/>
    <w:locked/>
    <w:uiPriority w:val="0"/>
  </w:style>
  <w:style w:type="character" w:customStyle="1" w:styleId="9">
    <w:name w:val="Heading 3 Char"/>
    <w:basedOn w:val="7"/>
    <w:link w:val="2"/>
    <w:semiHidden/>
    <w:qFormat/>
    <w:locked/>
    <w:uiPriority w:val="99"/>
    <w:rPr>
      <w:rFonts w:ascii="Calibri" w:hAnsi="Calibri" w:cs="Calibri"/>
      <w:b/>
      <w:bCs/>
      <w:sz w:val="32"/>
      <w:szCs w:val="32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List Paragraph2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2053"/>
    <customShpInfo spid="_x0000_s2054"/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金鑫诚电脑销售部</Company>
  <Pages>6</Pages>
  <Words>1915</Words>
  <Characters>2122</Characters>
  <Lines>0</Lines>
  <Paragraphs>0</Paragraphs>
  <TotalTime>0</TotalTime>
  <ScaleCrop>false</ScaleCrop>
  <LinksUpToDate>false</LinksUpToDate>
  <CharactersWithSpaces>2193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2018-06-26T17:21:00Z</dcterms:created>
  <dc:creator>掏炭的男人</dc:creator>
  <cp:lastModifiedBy>zhangxx</cp:lastModifiedBy>
  <cp:lastPrinted>2018-06-28T09:10:00Z</cp:lastPrinted>
  <dcterms:modified xsi:type="dcterms:W3CDTF">2022-11-21T16:20:54Z</dcterms:modified>
  <dc:title>关于做好2018年全市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